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084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Przedmiotem zamówienia jest wykonanie dokumentacji projektowo-kosztorysowej, przedmiaru robot, specyfikacji technicznych wykonania i odbioru robót budowlanych oraz wykonanie robot budowlanych na podstawie sporządzonej dokumentacji dla zadania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„Budowa ścieżki rowerowej w ciągu ulic Kolejowej i Danieckiej w Ozimku oraz ulicy Opolskiej w Nowej Schodni”</w:t>
      </w:r>
      <w:r>
        <w:rPr>
          <w:rFonts w:ascii="Times New Roman" w:hAnsi="Times New Roman"/>
          <w:sz w:val="21"/>
          <w:szCs w:val="21"/>
        </w:rPr>
        <w:t xml:space="preserve">. </w:t>
      </w:r>
    </w:p>
    <w:p w14:paraId="4FB08BC3" w14:textId="3B58E36D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Zadanie obejmuje budowę ścieżki rowerowej o nawierzchni bitumicznej przy krawędzi jezdni szerokości </w:t>
      </w:r>
      <w:r w:rsidR="00AB6EEA" w:rsidRPr="00625CD0">
        <w:rPr>
          <w:rFonts w:ascii="Times New Roman" w:hAnsi="Times New Roman"/>
          <w:sz w:val="21"/>
          <w:szCs w:val="21"/>
        </w:rPr>
        <w:t xml:space="preserve">min </w:t>
      </w:r>
      <w:r>
        <w:rPr>
          <w:rFonts w:ascii="Times New Roman" w:hAnsi="Times New Roman"/>
          <w:sz w:val="21"/>
          <w:szCs w:val="21"/>
        </w:rPr>
        <w:t xml:space="preserve">3,00 m w ciągu ul. Opolskiej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skrzyżowania z ul. Piotra Kuczki </w:t>
      </w:r>
      <w:r w:rsidRPr="00625CD0">
        <w:rPr>
          <w:rFonts w:ascii="Times New Roman" w:hAnsi="Times New Roman"/>
          <w:sz w:val="21"/>
          <w:szCs w:val="21"/>
        </w:rPr>
        <w:t>długości</w:t>
      </w:r>
      <w:r w:rsidR="00AB6EEA" w:rsidRPr="00625CD0">
        <w:rPr>
          <w:rFonts w:ascii="Times New Roman" w:hAnsi="Times New Roman"/>
          <w:sz w:val="21"/>
          <w:szCs w:val="21"/>
        </w:rPr>
        <w:t xml:space="preserve"> około </w:t>
      </w:r>
      <w:r w:rsidRPr="00625CD0">
        <w:rPr>
          <w:rFonts w:ascii="Times New Roman" w:hAnsi="Times New Roman"/>
          <w:sz w:val="21"/>
          <w:szCs w:val="21"/>
        </w:rPr>
        <w:t xml:space="preserve"> </w:t>
      </w:r>
      <w:r w:rsidR="00AB6EEA" w:rsidRPr="00625CD0">
        <w:rPr>
          <w:rFonts w:ascii="Times New Roman" w:hAnsi="Times New Roman"/>
          <w:sz w:val="21"/>
          <w:szCs w:val="21"/>
        </w:rPr>
        <w:t>750m</w:t>
      </w:r>
      <w:r w:rsidRPr="00625CD0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 xml:space="preserve">w ciągu ul. Danieckiej od początku zabudowy do skrzyżowania z ul. Kolejową (z wyłączeniem terenu PKP) </w:t>
      </w:r>
      <w:r w:rsidRPr="00625CD0">
        <w:rPr>
          <w:rFonts w:ascii="Times New Roman" w:hAnsi="Times New Roman"/>
          <w:sz w:val="21"/>
          <w:szCs w:val="21"/>
        </w:rPr>
        <w:t xml:space="preserve">długości ok. </w:t>
      </w:r>
      <w:r w:rsidR="00AB6EEA" w:rsidRPr="00625CD0">
        <w:rPr>
          <w:rFonts w:ascii="Times New Roman" w:hAnsi="Times New Roman"/>
          <w:sz w:val="21"/>
          <w:szCs w:val="21"/>
        </w:rPr>
        <w:t>1000</w:t>
      </w:r>
      <w:r w:rsidRPr="00625CD0">
        <w:rPr>
          <w:rFonts w:ascii="Times New Roman" w:hAnsi="Times New Roman"/>
          <w:sz w:val="21"/>
          <w:szCs w:val="21"/>
        </w:rPr>
        <w:t xml:space="preserve"> m </w:t>
      </w:r>
      <w:r>
        <w:rPr>
          <w:rFonts w:ascii="Times New Roman" w:hAnsi="Times New Roman"/>
          <w:sz w:val="21"/>
          <w:szCs w:val="21"/>
        </w:rPr>
        <w:t xml:space="preserve">oraz w ciągu ul. Kolejowej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mostu nad rzeką Mała Panew - </w:t>
      </w:r>
      <w:r w:rsidRPr="00625CD0">
        <w:rPr>
          <w:rFonts w:ascii="Times New Roman" w:hAnsi="Times New Roman"/>
          <w:sz w:val="21"/>
          <w:szCs w:val="21"/>
        </w:rPr>
        <w:t xml:space="preserve">długości </w:t>
      </w:r>
      <w:r w:rsidR="00AB6EEA" w:rsidRPr="00625CD0">
        <w:rPr>
          <w:rFonts w:ascii="Times New Roman" w:hAnsi="Times New Roman"/>
          <w:sz w:val="21"/>
          <w:szCs w:val="21"/>
        </w:rPr>
        <w:t>około 1100</w:t>
      </w:r>
      <w:r w:rsidRPr="00625CD0">
        <w:rPr>
          <w:rFonts w:ascii="Times New Roman" w:hAnsi="Times New Roman"/>
          <w:sz w:val="21"/>
          <w:szCs w:val="21"/>
        </w:rPr>
        <w:t xml:space="preserve"> m. </w:t>
      </w:r>
    </w:p>
    <w:p w14:paraId="42EEA071" w14:textId="55F7F9DA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W ramach zadania należy wykonać korektę geometrii jezdni ul. Kolejowej na wlocie do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. Na odcinku </w:t>
      </w:r>
      <w:r w:rsidRPr="00625CD0">
        <w:rPr>
          <w:rFonts w:ascii="Times New Roman" w:hAnsi="Times New Roman"/>
          <w:sz w:val="21"/>
          <w:szCs w:val="21"/>
        </w:rPr>
        <w:t xml:space="preserve">długości </w:t>
      </w:r>
      <w:r w:rsidR="00AB6EEA" w:rsidRPr="00625CD0">
        <w:rPr>
          <w:rFonts w:ascii="Times New Roman" w:hAnsi="Times New Roman"/>
          <w:sz w:val="21"/>
          <w:szCs w:val="21"/>
        </w:rPr>
        <w:t xml:space="preserve">około </w:t>
      </w:r>
      <w:r w:rsidRPr="00625CD0">
        <w:rPr>
          <w:rFonts w:ascii="Times New Roman" w:hAnsi="Times New Roman"/>
          <w:sz w:val="21"/>
          <w:szCs w:val="21"/>
        </w:rPr>
        <w:t>980</w:t>
      </w:r>
      <w:r>
        <w:rPr>
          <w:rFonts w:ascii="Times New Roman" w:hAnsi="Times New Roman"/>
          <w:sz w:val="21"/>
          <w:szCs w:val="21"/>
        </w:rPr>
        <w:t xml:space="preserve">,00 m przewidziano również budowę kanalizacji deszczowej. Na przedmiotowym odcinku drogi w ramach zadania przewiduje się również budowę oświetlenia od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 xml:space="preserve"> do dworca PKP, przebudowę kolidującego uzbrojenia oraz regulację wysokościową studni rewizyjnych, telekomunikacyjnych oraz zaworów sieci wodociągowej i gazowej. </w:t>
      </w:r>
    </w:p>
    <w:p w14:paraId="578DD868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Przewiduje się również budowę mini centrum przesiadkowego Park Ride z tablicą interaktywną, miejscami postojowymi dla rowerzystów pod wiatą rowerową oraz miejscami parkingowymi dla samochodów osobowych w tym jedno miejsce dla osoby niepełnosprawnej </w:t>
      </w:r>
    </w:p>
    <w:p w14:paraId="77B3E0F3" w14:textId="77777777" w:rsidR="00BD69BF" w:rsidRDefault="00B12D9C">
      <w:pPr>
        <w:suppressAutoHyphens w:val="0"/>
        <w:spacing w:line="240" w:lineRule="auto"/>
        <w:jc w:val="both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21"/>
          <w:szCs w:val="21"/>
          <w:u w:val="single"/>
        </w:rPr>
        <w:t xml:space="preserve">I. W ramach przedmiotu zamówienia należy wykonać: </w:t>
      </w:r>
    </w:p>
    <w:p w14:paraId="4AC9BBF1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Projekt budowlany wraz z wszystkimi wymaganymi dokumentami wraz z uzyskaniem decyzji zezwalającej na realizację inwestycji drogowej (lub innej decyzji umożliwiającej realizację inwestycji) wraz z uzyskaniem wynikających z przepisów: uzgodnień, opinii, pozwoleń i zgód – przy wymaganiach zawartych w ustawie z 7 lipca 1994r. - Prawo budowlane oraz Rozporządzeniu Ministra Rozwoju i Technologii z dnia 20 grudnia 2021 r. w sprawie szczegółowego zakresu i formy projektu budowlanego, (Dz.U. 2021 poz. 1169). W razie konieczności uzyskanie odstępstw od warunków technicznych,</w:t>
      </w:r>
    </w:p>
    <w:p w14:paraId="383BFB85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Projekt wykonawczy dla wszystkich branż oraz opracowań towarzyszących niezbędnych dla wykonania robót budowlanych. W tym projekt organizacji ruchu na czas wykonania robót z kompletem wymaganych uzgodnień, oraz plan BIOZ. Projekt wykonawczy, należy opracować z bardzo dużym uszczegółowieniem rozwiązań, jednoznacznym określeniem parametrów technicznych i standardów wykończenia, w sposób umożliwiający wycenę robót,</w:t>
      </w:r>
    </w:p>
    <w:p w14:paraId="702CF787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-Specyfikacje techniczną wykonania i odbioru robót według wymagań zawartych w Rozporządzeniu Mi-</w:t>
      </w:r>
      <w:proofErr w:type="spellStart"/>
      <w:r>
        <w:rPr>
          <w:rFonts w:ascii="Times New Roman" w:hAnsi="Times New Roman"/>
          <w:sz w:val="21"/>
          <w:szCs w:val="21"/>
        </w:rPr>
        <w:t>nistra</w:t>
      </w:r>
      <w:proofErr w:type="spellEnd"/>
      <w:r>
        <w:rPr>
          <w:rFonts w:ascii="Times New Roman" w:hAnsi="Times New Roman"/>
          <w:sz w:val="21"/>
          <w:szCs w:val="21"/>
        </w:rPr>
        <w:t xml:space="preserve"> Rozwoju i Technologii z dnia 20 grudnia 2021 r. w sprawie szczegółowego zakresu i formy dokumentacji projektowej, specyfikacji technicznych wykonania i odbioru robót budowlanych oraz programu funkcjonalno-użytkowego (Dz.U. 2021 poz. 2454), </w:t>
      </w:r>
    </w:p>
    <w:p w14:paraId="0820EA8F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-Przedmiar robót,</w:t>
      </w:r>
    </w:p>
    <w:p w14:paraId="71D334C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-Opracować oraz zatwierdzić projekt stałej oraz tymczasowej organizacji ruchu zgodnie z ustawą z dnia 23 września 2003 r. (Dz. U. z 2017 r. poz. 784) w sprawie szczegółowych warunków zarządzania ruchem na drogach oraz wykonywania nadzoru nad tym zarządzaniem. </w:t>
      </w:r>
    </w:p>
    <w:p w14:paraId="4E9DC044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-Podział działek, przez które przebiega inwestycja, </w:t>
      </w:r>
    </w:p>
    <w:p w14:paraId="14E5CD3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-Dokonanie stabilizacji granic po podziale działek, </w:t>
      </w:r>
    </w:p>
    <w:p w14:paraId="4EFF838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Tabelaryczne zestawianie kosztów do rozliczenia oraz opracowania harmonogramu rzeczowo finansowego do prowadzenia inwestycji,</w:t>
      </w:r>
    </w:p>
    <w:p w14:paraId="3B65171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-Wykonanie robót budowlanych na podstawie sporządzonych projektów i specyfikacji technicznych wykonania i odbioru robót. Roboty budowlane wykonane wraz z niezbędną infrastrukturą towarzyszącą w oparciu o dokumentację projektową wykonaną przez Wykonawcę robót wraz ze świadczeniami niebędącymi </w:t>
      </w:r>
      <w:r>
        <w:rPr>
          <w:rFonts w:ascii="Times New Roman" w:hAnsi="Times New Roman"/>
          <w:sz w:val="21"/>
          <w:szCs w:val="21"/>
        </w:rPr>
        <w:lastRenderedPageBreak/>
        <w:t xml:space="preserve">robotami budowlanymi oraz w razie konieczności zabezpieczenie zabytków małej architektury, prowadzenia badań archeologicznych, zapewnienie nadzoru archeologicznego, 5 przyrodniczego oraz ornitologicznego – w zakresie wynikającym ze szczególnych przepisów, </w:t>
      </w:r>
    </w:p>
    <w:p w14:paraId="30330F9E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Opracowanie programu zapewnienia, jakości, planu BIOZ oraz harmonogramu robót,</w:t>
      </w:r>
    </w:p>
    <w:p w14:paraId="31EAE077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Przeprowadzenie wymaganych prób i badań, uzyskanie odbiorów robót i przygotowaniem dokumentów związanych z oddaniem do użytkowania wybudowanych obiektów oraz uzyskaniem pozwolenia na użytkowanie wraz z oddaniem obiektu do użytkowania.</w:t>
      </w:r>
    </w:p>
    <w:p w14:paraId="1AB1F453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II. W ramach zadania przewiduje się budowę i przebudowę infrastruktury drogowej m.in.:</w:t>
      </w:r>
    </w:p>
    <w:p w14:paraId="37F6C562" w14:textId="71AB81A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Budowę ścieżki rowerowej szerokości 3,00m rowerowej o nawierzchni bitumicznej przy krawędzi jezdni na długości </w:t>
      </w:r>
      <w:r w:rsidR="00AB6EEA" w:rsidRPr="00625CD0">
        <w:rPr>
          <w:rFonts w:ascii="Times New Roman" w:hAnsi="Times New Roman"/>
          <w:sz w:val="21"/>
          <w:szCs w:val="21"/>
        </w:rPr>
        <w:t>około 2850m</w:t>
      </w:r>
      <w:r w:rsidRPr="00625CD0">
        <w:rPr>
          <w:rFonts w:ascii="Times New Roman" w:hAnsi="Times New Roman"/>
          <w:sz w:val="21"/>
          <w:szCs w:val="21"/>
        </w:rPr>
        <w:t xml:space="preserve">, </w:t>
      </w:r>
    </w:p>
    <w:p w14:paraId="10FF010B" w14:textId="5B8370BD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Budowę chodnika z kostki betonowej szerokości </w:t>
      </w:r>
      <w:r w:rsidRPr="00625CD0">
        <w:rPr>
          <w:rFonts w:ascii="Times New Roman" w:hAnsi="Times New Roman"/>
          <w:sz w:val="21"/>
          <w:szCs w:val="21"/>
        </w:rPr>
        <w:t>2,00m</w:t>
      </w:r>
      <w:r w:rsidR="00AB6EEA" w:rsidRPr="00625CD0">
        <w:rPr>
          <w:rFonts w:ascii="Times New Roman" w:hAnsi="Times New Roman"/>
          <w:sz w:val="21"/>
          <w:szCs w:val="21"/>
        </w:rPr>
        <w:t xml:space="preserve"> bez krawężnika i obrzeża </w:t>
      </w:r>
      <w:r>
        <w:rPr>
          <w:rFonts w:ascii="Times New Roman" w:hAnsi="Times New Roman"/>
          <w:sz w:val="21"/>
          <w:szCs w:val="21"/>
        </w:rPr>
        <w:t xml:space="preserve">, </w:t>
      </w:r>
    </w:p>
    <w:p w14:paraId="21D7BE91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nowej konstrukcji jezdni, </w:t>
      </w:r>
    </w:p>
    <w:p w14:paraId="6CB683A9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Korektę geometrii jezdni ul. Kolejowej na wlocie do skrzyżowania z ul. </w:t>
      </w:r>
      <w:proofErr w:type="spellStart"/>
      <w:r>
        <w:rPr>
          <w:rFonts w:ascii="Times New Roman" w:hAnsi="Times New Roman"/>
          <w:sz w:val="21"/>
          <w:szCs w:val="21"/>
        </w:rPr>
        <w:t>Daniecką</w:t>
      </w:r>
      <w:proofErr w:type="spellEnd"/>
      <w:r>
        <w:rPr>
          <w:rFonts w:ascii="Times New Roman" w:hAnsi="Times New Roman"/>
          <w:sz w:val="21"/>
          <w:szCs w:val="21"/>
        </w:rPr>
        <w:t>,</w:t>
      </w:r>
    </w:p>
    <w:p w14:paraId="30E5D312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 Korektę łuku poziomego przed Dworcem PKP, </w:t>
      </w:r>
    </w:p>
    <w:p w14:paraId="7BDF29EF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parkingu </w:t>
      </w:r>
      <w:proofErr w:type="spellStart"/>
      <w:r>
        <w:rPr>
          <w:rFonts w:ascii="Times New Roman" w:hAnsi="Times New Roman"/>
          <w:sz w:val="21"/>
          <w:szCs w:val="21"/>
        </w:rPr>
        <w:t>Bike&amp;Ride</w:t>
      </w:r>
      <w:proofErr w:type="spellEnd"/>
      <w:r>
        <w:rPr>
          <w:rFonts w:ascii="Times New Roman" w:hAnsi="Times New Roman"/>
          <w:sz w:val="21"/>
          <w:szCs w:val="21"/>
        </w:rPr>
        <w:t xml:space="preserve"> przy Dworcu PKP, </w:t>
      </w:r>
    </w:p>
    <w:p w14:paraId="3B58B235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Odwodnienie drogi poprzez budowę kanalizacji deszczowej w miejscach tego wymagających ( ø400 o długości ok. 980 m odbudowę rowów przydrożnych oraz zapewnienie odwodnienia terenów przyległych. </w:t>
      </w:r>
    </w:p>
    <w:p w14:paraId="54B962CF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Przebudowy zjazdów publicznych i indywidualnych, </w:t>
      </w:r>
    </w:p>
    <w:p w14:paraId="67108AF2" w14:textId="7CBDD39D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nowej konstrukcji zatok autobusowych o nawierzchni z kostki granit</w:t>
      </w:r>
      <w:r w:rsidRPr="00625CD0">
        <w:rPr>
          <w:rFonts w:ascii="Times New Roman" w:hAnsi="Times New Roman"/>
          <w:sz w:val="21"/>
          <w:szCs w:val="21"/>
        </w:rPr>
        <w:t xml:space="preserve"> </w:t>
      </w:r>
      <w:r w:rsidR="00302C4F" w:rsidRPr="00625CD0">
        <w:rPr>
          <w:rFonts w:ascii="Times New Roman" w:hAnsi="Times New Roman"/>
          <w:sz w:val="21"/>
          <w:szCs w:val="21"/>
        </w:rPr>
        <w:t xml:space="preserve">dużej </w:t>
      </w:r>
    </w:p>
    <w:p w14:paraId="00AF4766" w14:textId="385B49C2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murów oporowych </w:t>
      </w:r>
    </w:p>
    <w:p w14:paraId="5F52D398" w14:textId="21297763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ścieku </w:t>
      </w:r>
      <w:proofErr w:type="spellStart"/>
      <w:r>
        <w:rPr>
          <w:rFonts w:ascii="Times New Roman" w:hAnsi="Times New Roman"/>
          <w:sz w:val="21"/>
          <w:szCs w:val="21"/>
        </w:rPr>
        <w:t>przykrawężnikowego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</w:p>
    <w:p w14:paraId="078C4943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drenu francuskiego w miejscach zasypywanych rowów, </w:t>
      </w:r>
    </w:p>
    <w:p w14:paraId="2BE34284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i przebudowę oświetlenia ulicznego w tym budowę oświetlenia dedykowanego przejść dla pieszych zasilanych z sieci,</w:t>
      </w:r>
    </w:p>
    <w:p w14:paraId="487B9E1D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Budowę poboczy gruntowych,</w:t>
      </w:r>
    </w:p>
    <w:p w14:paraId="496DA869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Przebudowy i zabezpieczenia istniejących sieci uzbrojenia zgodnie z warunkami wydanymi przez ich zarządców. </w:t>
      </w:r>
    </w:p>
    <w:p w14:paraId="0EE290E0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Regulację wysokościową studni rewizyjnych, telekomunikacyjnych oraz zaworów sieci wodociągowej i gazowej, </w:t>
      </w:r>
    </w:p>
    <w:p w14:paraId="24DC94DA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Wykonanie oznakowania pionowego i poziomego </w:t>
      </w:r>
    </w:p>
    <w:p w14:paraId="3D4740DE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Wycinkę drzew i krzewów </w:t>
      </w:r>
    </w:p>
    <w:p w14:paraId="71905E09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Przebudowę i/lub zabezpieczenie kolidujących z inwestycją urządzeń infrastruktury technicznej </w:t>
      </w:r>
    </w:p>
    <w:p w14:paraId="4A7473DC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t xml:space="preserve"> Przebudowę urządzeń niezwiązanych z gospodarką drogową </w:t>
      </w:r>
    </w:p>
    <w:p w14:paraId="708D8AAC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1"/>
          <w:szCs w:val="21"/>
        </w:rPr>
        <w:lastRenderedPageBreak/>
        <w:t xml:space="preserve">Budowę ogrodzenia z siatki stalowej w kątownikach 1,80x2,50m na cokole betonowym, </w:t>
      </w:r>
    </w:p>
    <w:p w14:paraId="010DDAD4" w14:textId="77777777" w:rsidR="00BD69BF" w:rsidRDefault="00B12D9C">
      <w:pPr>
        <w:numPr>
          <w:ilvl w:val="0"/>
          <w:numId w:val="2"/>
        </w:num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Roboty rozbiórkowe </w:t>
      </w:r>
    </w:p>
    <w:p w14:paraId="0B90B1B0" w14:textId="77777777" w:rsidR="00BD69BF" w:rsidRDefault="00B12D9C">
      <w:pPr>
        <w:pStyle w:val="Tekstpodstawowywcity"/>
        <w:suppressAutoHyphens w:val="0"/>
        <w:spacing w:after="0" w:line="240" w:lineRule="auto"/>
        <w:ind w:left="1724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Roboty należy wykonywać zgodnie z obowiązującymi normami i przepisami oraz sztuką budowlaną.</w:t>
      </w:r>
    </w:p>
    <w:p w14:paraId="48FD6908" w14:textId="77777777" w:rsidR="00BD69BF" w:rsidRDefault="00B12D9C">
      <w:pPr>
        <w:suppressAutoHyphens w:val="0"/>
        <w:spacing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Szczegółowy opis oraz sposób realizacji zadania zawiera program funkcjonalno-użytkowy, projekt umowy, przedmiar robót  ( które są załącznikami do SWZ) </w:t>
      </w:r>
    </w:p>
    <w:p w14:paraId="3CB330CF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41644FB6" w14:textId="77777777" w:rsidR="00BD69BF" w:rsidRDefault="00B12D9C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III.  Wykonawca jest zobowiązany do:</w:t>
      </w:r>
    </w:p>
    <w:p w14:paraId="4052E324" w14:textId="77777777" w:rsidR="00BD69BF" w:rsidRDefault="00BD69BF">
      <w:pPr>
        <w:spacing w:after="0" w:line="240" w:lineRule="auto"/>
        <w:jc w:val="both"/>
        <w:rPr>
          <w:b/>
          <w:bCs/>
        </w:rPr>
      </w:pPr>
    </w:p>
    <w:p w14:paraId="46E0B6B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Sporządzenie wniosku, materiałów do wniosku i na podstawie upoważnienia Burmistrza Ozimka  uzyskanie opinii do wniosku o wydanie decyzji o zezwoleniu na realizację inwestycji drogowej zgodnie z ustawą z dnia 10 kwietnia 2003r. o szczególnych zasadach przygotowania i realizacji inwestycji w zakresie dróg publicznych , zgodnie z art. 11b i d w/w ustawy. </w:t>
      </w:r>
    </w:p>
    <w:p w14:paraId="35CF689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Organizacji Narad Technicznych z inwestorem ( min. 2 ) na etapie projektowym.</w:t>
      </w:r>
    </w:p>
    <w:p w14:paraId="70ED6E2E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Sporządzenie operatów wodnoprawnych oraz uzyskanie decyzji pozwolenie wodnoprawne na wykonanie wszystkich urządzeń wodnych (rozbudowa, przebudowa, budowa) oraz odprowadzenie wód - na podstawie upoważnienia.</w:t>
      </w:r>
    </w:p>
    <w:p w14:paraId="48083AFC" w14:textId="77777777" w:rsidR="00B12D9C" w:rsidRPr="00B12D9C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Uzyskanie wszelkich innych decyzji, uzgodnień i opinii niezbędnych do opracowania PB + PW oraz do uzyskania decyzji o zezwoleniu na realizację inwestycji drogowej zgodnie z ustawą o szczególnych zasadach przygotowania i realizacji inwestycji w zakresie dróg publicznych  oraz zgodnie ze szczegółowym</w:t>
      </w:r>
      <w:r>
        <w:rPr>
          <w:rFonts w:ascii="Times New Roman" w:hAnsi="Times New Roman" w:cs="Times New Roman"/>
          <w:iCs/>
          <w:color w:val="000000"/>
          <w:sz w:val="21"/>
          <w:szCs w:val="21"/>
        </w:rPr>
        <w:t xml:space="preserve"> opisem oraz sposobem realizacji zadania który zawarto w  programie funkcjonalno-użytkowy stanowiącym załącznik do SWZ) </w:t>
      </w:r>
    </w:p>
    <w:p w14:paraId="6AC3A1A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aktualnej numerycznej mapy do celów projektowych w formie elektronicznej i papierowej w skali 1:500 w zakresie niezbędnym do opracowania projektu </w:t>
      </w:r>
    </w:p>
    <w:p w14:paraId="6E1EB367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Uzyskanie aktualnych warunków na budowę/przebudowę sieci infrastruktury towarzyszącej/sieci uzbrojenia terenu kolidującej z rozbudową drogi.  </w:t>
      </w:r>
    </w:p>
    <w:p w14:paraId="2AD567C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Prowadzenia kontroli jakości robót określonych w SST. Roboty w obrębie istniejącego uzbrojenia prowadzić należy ręcznie ze szczególną ostrożnością.</w:t>
      </w:r>
    </w:p>
    <w:p w14:paraId="57FB5D1D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Na wykonawcy spoczywa również obowiązek wykonania oznakowania obrębu prowadzenia robót ( tymczasowa organizacja ruchu )</w:t>
      </w:r>
    </w:p>
    <w:p w14:paraId="61300C3B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Przed oddaniem drogi do ruchu wyregulować należy wszelkie istniejące studnie, zasuwy i inne elementu uzbrojenia. Wszelkie zmiany (dotyczące wykonania robót , doboru rodzaju i ilości materiałów oraz obmiaru robót), które mają znaczący wpływ na jakość wykonanej nawierzchni i na wartość kosztorysową, należy przed przystąpieniem do robót uzgodnić z Inspektorem Nadzoru/ Inwestorem oraz autorem projektu. </w:t>
      </w:r>
    </w:p>
    <w:p w14:paraId="0B522674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Kierownik budowy (robót) zobowiązany jest do p</w:t>
      </w:r>
      <w:r>
        <w:rPr>
          <w:rFonts w:ascii="Times New Roman" w:hAnsi="Times New Roman" w:cs="Times New Roman"/>
          <w:b/>
          <w:bCs/>
        </w:rPr>
        <w:t>rzygotowania harmonogramu badań kontrolnych w odniesieniu do realizacji robót z poszczególnych branż ujętych w zadaniu, sporządzenia protokołów robót zanikających wraz z załącznikiem zdjęciowym, dopilnowania w odtworzeniu terenów przylegających do miejsc prowadzenia robót drogowych w tym trawników i terenów zielonych</w:t>
      </w:r>
    </w:p>
    <w:p w14:paraId="6999DCA5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oddaniem drogi do ruchu wyregulować należy wszelkie istniejące studnie, zasuwy i inne elementu uzbrojenia. Wszelkie zawory studzienki należy wyregulować w taki sposób aby po dokonaniu prac nie zostały zakryte przez warstwę kamienia lub masy asfaltowej.</w:t>
      </w:r>
    </w:p>
    <w:p w14:paraId="4EB2A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Przed przystąpieniem wykonawcy prac do realizacji robót należy skontaktować się z zarządcą sieci wodociągowej i kanalizacyjnej o stanie uzbrojenia terenu. Zarządcą sieci na terenie gminy jest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PGKiM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sp. z o. o. w Antoniowie, ul. Powstańców Śląskich 54, telefon:  77 44 49 131. - należy z zarządcą protokolarnie/pisemnie dokonać przekazania inwentaryzacji sieci. </w:t>
      </w:r>
    </w:p>
    <w:p w14:paraId="36017219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Uporządkowanie obszaru przyległego do terenu prowadzonych robót</w:t>
      </w:r>
    </w:p>
    <w:p w14:paraId="7082FAD3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Sporządzenie geodezyjnej inwentaryzacji powykonawczej całości zadania zatwierdzone w ośrodku geodezji i kartografii w Starostwie Powiatowym</w:t>
      </w:r>
    </w:p>
    <w:p w14:paraId="6BDD775F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Przeprowadzenie wymaganych badań i pomiarów kontrolnych zgodnie z wymogami SST; wyniki badań do akceptacji przez Inspektora Nadzoru lub inne osoby wyznaczone przez Zamawiającego</w:t>
      </w:r>
    </w:p>
    <w:p w14:paraId="2A396821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kosztorysu powykonawczego zatwierdzonego przez Inspektora Nadzoru (jeżeli został powołany z ramienia Inwestora)</w:t>
      </w:r>
    </w:p>
    <w:p w14:paraId="775C9420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Wykonanie oznakowania na podstawie zatwierdzonej docelowej organizacji ruchu.</w:t>
      </w:r>
    </w:p>
    <w:p w14:paraId="35AB7D2C" w14:textId="77777777" w:rsidR="00BD69BF" w:rsidRDefault="00B12D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Przygotowanie rozliczenia końcowego i sporządzenie 2 egz. operatu kolaudacyjnego, który ma zawierać</w:t>
      </w:r>
      <w:r>
        <w:rPr>
          <w:rFonts w:ascii="Times New Roman" w:hAnsi="Times New Roman" w:cs="Times New Roman"/>
        </w:rPr>
        <w:t xml:space="preserve">: umowę; ofertę; umowy z ewentualnymi podwykonawcami; harmonogram; tabele elementów rozliczeniowych; protokół przekazania terenu budowy; protokoły robót zanikających z załącznikiem graficznym; wyniki badań laboratoryjnych, deklaracje zgodności materiałów - atesty; sprawozdania techniczne Wykonawcy; gwarancyjna wraz z warunkami  wszystkich zamontowanych urządzeń i materiałów; kartę gwarancyjną obejmującą odpowiedzialność gwarancyjną za wykonane roboty; geodezyjną inwentaryzację powykonawczą; rozliczenie finansowe; wszelkie inne dokumenty potrzebne do zakończenia robót oraz ostateczną decyzję pozwolenia na użytkowanie Obiektu ( wszystkie branże na zadaniu); potwierdzenie zakończenia odbioru robót; uzyskanie niezbędnych zgłoszeń, w poszczególnych branżach, uzgodnień oraz pozwoleń; oświadczenia uprawnionych kierowników robót poszczególnych branż o wykonaniu zadania zgodnie z wymogami SST; protokoły z narad i ustaleń; wszelkie inne dokumenty zgromadzone w trakcie wykonywania przedmiotu zamówienia, a odnoszące się do jego realizacji; </w:t>
      </w:r>
    </w:p>
    <w:p w14:paraId="0EEDCA0B" w14:textId="77777777" w:rsidR="00BD69BF" w:rsidRDefault="00BD69BF">
      <w:pPr>
        <w:spacing w:after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36CBF4B" w14:textId="77777777" w:rsidR="00BD69BF" w:rsidRDefault="00BD69BF">
      <w:pPr>
        <w:pStyle w:val="Default"/>
        <w:spacing w:line="276" w:lineRule="auto"/>
        <w:jc w:val="both"/>
        <w:rPr>
          <w:sz w:val="22"/>
          <w:szCs w:val="22"/>
        </w:rPr>
      </w:pPr>
    </w:p>
    <w:p w14:paraId="0DF37C09" w14:textId="77777777" w:rsidR="00BD69BF" w:rsidRDefault="00BD69BF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50EA2C4D" w14:textId="77777777" w:rsidR="00BD69BF" w:rsidRDefault="00BD69BF">
      <w:pPr>
        <w:spacing w:after="0" w:line="240" w:lineRule="auto"/>
        <w:ind w:firstLine="708"/>
        <w:jc w:val="both"/>
        <w:rPr>
          <w:rFonts w:cstheme="minorHAnsi"/>
          <w:iCs/>
          <w:color w:val="000000"/>
        </w:rPr>
      </w:pPr>
    </w:p>
    <w:sectPr w:rsidR="00BD69BF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2EDF" w14:textId="77777777" w:rsidR="001737E6" w:rsidRDefault="001737E6" w:rsidP="009107E5">
      <w:pPr>
        <w:spacing w:after="0" w:line="240" w:lineRule="auto"/>
      </w:pPr>
      <w:r>
        <w:separator/>
      </w:r>
    </w:p>
  </w:endnote>
  <w:endnote w:type="continuationSeparator" w:id="0">
    <w:p w14:paraId="6C3F9249" w14:textId="77777777" w:rsidR="001737E6" w:rsidRDefault="001737E6" w:rsidP="009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75CE" w14:textId="77777777" w:rsidR="001737E6" w:rsidRDefault="001737E6" w:rsidP="009107E5">
      <w:pPr>
        <w:spacing w:after="0" w:line="240" w:lineRule="auto"/>
      </w:pPr>
      <w:r>
        <w:separator/>
      </w:r>
    </w:p>
  </w:footnote>
  <w:footnote w:type="continuationSeparator" w:id="0">
    <w:p w14:paraId="15CA6B30" w14:textId="77777777" w:rsidR="001737E6" w:rsidRDefault="001737E6" w:rsidP="0091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CFEF" w14:textId="1772CD37" w:rsidR="009107E5" w:rsidRDefault="009107E5" w:rsidP="009107E5">
    <w:pPr>
      <w:pStyle w:val="Nagwek"/>
      <w:jc w:val="right"/>
    </w:pPr>
    <w:r>
      <w:rPr>
        <w:noProof/>
      </w:rPr>
      <w:drawing>
        <wp:inline distT="0" distB="0" distL="0" distR="0" wp14:anchorId="5857A523" wp14:editId="35672235">
          <wp:extent cx="1543870" cy="621324"/>
          <wp:effectExtent l="0" t="0" r="0" b="7620"/>
          <wp:docPr id="1" name="Obraz 1" descr="Obraz zawierający tekst, clipart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824" cy="633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9AF35" w14:textId="211C9B90" w:rsidR="009107E5" w:rsidRDefault="009107E5" w:rsidP="009107E5">
    <w:pPr>
      <w:pStyle w:val="Nagwek"/>
      <w:jc w:val="right"/>
    </w:pPr>
    <w: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87B82"/>
    <w:multiLevelType w:val="multilevel"/>
    <w:tmpl w:val="1B9482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A22FC"/>
    <w:multiLevelType w:val="multilevel"/>
    <w:tmpl w:val="9656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9947F8A"/>
    <w:multiLevelType w:val="multilevel"/>
    <w:tmpl w:val="47666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54085995">
    <w:abstractNumId w:val="2"/>
  </w:num>
  <w:num w:numId="2" w16cid:durableId="324552922">
    <w:abstractNumId w:val="1"/>
  </w:num>
  <w:num w:numId="3" w16cid:durableId="19810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F"/>
    <w:rsid w:val="001737E6"/>
    <w:rsid w:val="00302C4F"/>
    <w:rsid w:val="00625CD0"/>
    <w:rsid w:val="00701068"/>
    <w:rsid w:val="009107E5"/>
    <w:rsid w:val="00AB6EEA"/>
    <w:rsid w:val="00B12D9C"/>
    <w:rsid w:val="00B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F34D"/>
  <w15:docId w15:val="{C545D2B3-6435-42E9-8A28-720D7B6A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Times New Roman" w:eastAsia="Times New Roman" w:hAnsi="Times New Roman" w:cs="Courier New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Times New Roman" w:eastAsia="Times New Roman" w:hAnsi="Times New Roman" w:cs="Courier New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WW8Num2z0">
    <w:name w:val="WW8Num2z0"/>
    <w:qFormat/>
    <w:rPr>
      <w:rFonts w:ascii="Symbol" w:eastAsia="Times New Roman" w:hAnsi="Symbol" w:cs="Symbol"/>
      <w:color w:val="000000"/>
    </w:rPr>
  </w:style>
  <w:style w:type="character" w:customStyle="1" w:styleId="WW8Num20z0">
    <w:name w:val="WW8Num20z0"/>
    <w:qFormat/>
    <w:rPr>
      <w:rFonts w:ascii="Symbol" w:eastAsia="Tahoma" w:hAnsi="Symbol" w:cs="Symbol"/>
      <w:sz w:val="22"/>
      <w:szCs w:val="22"/>
      <w:lang w:eastAsia="pl-P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Arial" w:hAnsi="Arial" w:cs="Arial"/>
      <w:sz w:val="22"/>
      <w:szCs w:val="22"/>
      <w:lang w:eastAsia="pl-P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172A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D7ABA"/>
    <w:pPr>
      <w:ind w:left="720"/>
      <w:contextualSpacing/>
    </w:p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Tekstpodstawowy22">
    <w:name w:val="Tekst podstawowy 22"/>
    <w:basedOn w:val="Normalny"/>
    <w:qFormat/>
  </w:style>
  <w:style w:type="paragraph" w:customStyle="1" w:styleId="Tekstpodstawowy23">
    <w:name w:val="Tekst podstawowy 23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numbering" w:customStyle="1" w:styleId="WW8Num10">
    <w:name w:val="WW8Num10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20">
    <w:name w:val="WW8Num20"/>
    <w:qFormat/>
  </w:style>
  <w:style w:type="numbering" w:customStyle="1" w:styleId="WW8Num14">
    <w:name w:val="WW8Num14"/>
    <w:qFormat/>
  </w:style>
  <w:style w:type="paragraph" w:styleId="Stopka">
    <w:name w:val="footer"/>
    <w:basedOn w:val="Normalny"/>
    <w:link w:val="StopkaZnak"/>
    <w:uiPriority w:val="99"/>
    <w:unhideWhenUsed/>
    <w:rsid w:val="0091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7E5"/>
  </w:style>
  <w:style w:type="character" w:customStyle="1" w:styleId="NagwekZnak">
    <w:name w:val="Nagłówek Znak"/>
    <w:basedOn w:val="Domylnaczcionkaakapitu"/>
    <w:link w:val="Nagwek"/>
    <w:uiPriority w:val="99"/>
    <w:rsid w:val="009107E5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WaldemarJ</dc:creator>
  <dc:description/>
  <cp:lastModifiedBy>as sd</cp:lastModifiedBy>
  <cp:revision>3</cp:revision>
  <dcterms:created xsi:type="dcterms:W3CDTF">2022-03-04T10:23:00Z</dcterms:created>
  <dcterms:modified xsi:type="dcterms:W3CDTF">2022-05-19T08:19:00Z</dcterms:modified>
  <dc:language>pl-PL</dc:language>
</cp:coreProperties>
</file>